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rPr>
      </w:pPr>
      <w:r>
        <w:rPr>
          <w:rFonts w:hint="default" w:ascii="Times New Roman" w:hAnsi="Times New Roman" w:cs="Times New Roman"/>
        </w:rPr>
        <w:t>泉州市人民政府办公室关于公布市政府及市政府办公室规范性文件设定的证明事项取消目录的通知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各县（市、区）人民政府，泉州开发区、泉州台商投资区管委会，市人民政府各部门、各直属机构，各大企业，各高等院校：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　　为贯彻落实党中央、国务院关于减证便民、优化服务的部署要求，根据国务院办公厅印发的《关于做好证明事项清理工作的通知》（国办发〔2018〕47号）要求，经市政府第54次常务会议研究通过，决定取消市政府及市政府办公室规范性文件设定的8项证明事项。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　　对列入取消清单的证明事项，各地各有关部门不得以任何理由要求公民、法人和其他组织出具。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　　附件：市政府及市政府办公室规范性文件设定的证明事项取消目录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right"/>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　　                                                                                       泉州市人民政府办公室 </w:t>
      </w:r>
    </w:p>
    <w:p>
      <w:pPr>
        <w:keepNext w:val="0"/>
        <w:keepLines w:val="0"/>
        <w:widowControl/>
        <w:suppressLineNumbers w:val="0"/>
        <w:jc w:val="left"/>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                                                2019年3月7日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center"/>
        <w:rPr>
          <w:rFonts w:hint="default" w:ascii="Times New Roman" w:hAnsi="Times New Roman" w:eastAsia="宋体" w:cs="Times New Roman"/>
          <w:b w:val="0"/>
          <w:i w:val="0"/>
          <w:caps w:val="0"/>
          <w:color w:val="555555"/>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宋体" w:cs="Times New Roman"/>
          <w:b w:val="0"/>
          <w:i w:val="0"/>
          <w:caps w:val="0"/>
          <w:color w:val="555555"/>
          <w:spacing w:val="0"/>
          <w:sz w:val="24"/>
          <w:szCs w:val="24"/>
          <w:bdr w:val="none" w:color="auto" w:sz="0" w:space="0"/>
          <w:shd w:val="clear" w:fill="FFFFFF"/>
        </w:rPr>
        <w:sectPr>
          <w:pgSz w:w="11906" w:h="16838"/>
          <w:pgMar w:top="1440" w:right="1800" w:bottom="1440" w:left="1800" w:header="851" w:footer="992" w:gutter="0"/>
          <w:cols w:space="425" w:num="1"/>
          <w:docGrid w:type="lines" w:linePitch="312" w:charSpace="0"/>
        </w:sect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宋体" w:cs="Times New Roman"/>
          <w:b w:val="0"/>
          <w:i w:val="0"/>
          <w:caps w:val="0"/>
          <w:color w:val="555555"/>
          <w:spacing w:val="0"/>
          <w:sz w:val="24"/>
          <w:szCs w:val="24"/>
        </w:rPr>
      </w:pPr>
      <w:r>
        <w:rPr>
          <w:rFonts w:hint="default" w:ascii="Times New Roman" w:hAnsi="Times New Roman" w:eastAsia="宋体" w:cs="Times New Roman"/>
          <w:b w:val="0"/>
          <w:i w:val="0"/>
          <w:caps w:val="0"/>
          <w:color w:val="555555"/>
          <w:spacing w:val="0"/>
          <w:sz w:val="24"/>
          <w:szCs w:val="24"/>
          <w:bdr w:val="none" w:color="auto" w:sz="0" w:space="0"/>
          <w:shd w:val="clear" w:fill="FFFFFF"/>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宋体" w:cs="Times New Roman"/>
          <w:b w:val="0"/>
          <w:i w:val="0"/>
          <w:caps w:val="0"/>
          <w:color w:val="555555"/>
          <w:spacing w:val="0"/>
          <w:sz w:val="24"/>
          <w:szCs w:val="24"/>
        </w:rPr>
      </w:pPr>
      <w:r>
        <w:rPr>
          <w:rFonts w:hint="default" w:ascii="Times New Roman" w:hAnsi="Times New Roman" w:eastAsia="宋体" w:cs="Times New Roman"/>
          <w:b w:val="0"/>
          <w:i w:val="0"/>
          <w:caps w:val="0"/>
          <w:color w:val="555555"/>
          <w:spacing w:val="0"/>
          <w:sz w:val="24"/>
          <w:szCs w:val="24"/>
          <w:bdr w:val="none" w:color="auto" w:sz="0" w:space="0"/>
          <w:shd w:val="clear" w:fill="FFFFFF"/>
        </w:rPr>
        <w:t>           </w:t>
      </w:r>
      <w:r>
        <w:rPr>
          <w:rFonts w:hint="default" w:ascii="Times New Roman" w:hAnsi="Times New Roman" w:eastAsia="宋体" w:cs="Times New Roman"/>
          <w:b/>
          <w:i w:val="0"/>
          <w:caps w:val="0"/>
          <w:color w:val="555555"/>
          <w:spacing w:val="0"/>
          <w:sz w:val="24"/>
          <w:szCs w:val="24"/>
          <w:bdr w:val="none" w:color="auto" w:sz="0" w:space="0"/>
          <w:shd w:val="clear" w:fill="FFFFFF"/>
        </w:rPr>
        <w:t>   </w:t>
      </w:r>
      <w:bookmarkStart w:id="0" w:name="_GoBack"/>
      <w:bookmarkEnd w:id="0"/>
      <w:r>
        <w:rPr>
          <w:rFonts w:hint="default" w:ascii="Times New Roman" w:hAnsi="Times New Roman" w:eastAsia="宋体" w:cs="Times New Roman"/>
          <w:b/>
          <w:i w:val="0"/>
          <w:caps w:val="0"/>
          <w:color w:val="555555"/>
          <w:spacing w:val="0"/>
          <w:sz w:val="24"/>
          <w:szCs w:val="24"/>
          <w:bdr w:val="none" w:color="auto" w:sz="0" w:space="0"/>
          <w:shd w:val="clear" w:fill="FFFFFF"/>
        </w:rPr>
        <w:t>市政府及市政府办公室规范性文件设定的证明事项取消目录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宋体" w:cs="Times New Roman"/>
          <w:b w:val="0"/>
          <w:i w:val="0"/>
          <w:caps w:val="0"/>
          <w:color w:val="555555"/>
          <w:spacing w:val="0"/>
          <w:sz w:val="24"/>
          <w:szCs w:val="24"/>
        </w:rPr>
      </w:pPr>
    </w:p>
    <w:tbl>
      <w:tblPr>
        <w:tblW w:w="9464" w:type="dxa"/>
        <w:jc w:val="center"/>
        <w:tblInd w:w="-471"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
      <w:tblGrid>
        <w:gridCol w:w="456"/>
        <w:gridCol w:w="1416"/>
        <w:gridCol w:w="1245"/>
        <w:gridCol w:w="5100"/>
        <w:gridCol w:w="1247"/>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456" w:type="dxa"/>
            <w:vMerge w:val="restar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00" w:lineRule="atLeast"/>
              <w:ind w:left="0" w:right="0"/>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bdr w:val="none" w:color="auto" w:sz="0" w:space="0"/>
                <w:shd w:val="clear" w:fill="FFFFFF"/>
              </w:rPr>
              <w:t>序号</w:t>
            </w:r>
          </w:p>
        </w:tc>
        <w:tc>
          <w:tcPr>
            <w:tcW w:w="1416" w:type="dxa"/>
            <w:vMerge w:val="restart"/>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0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bdr w:val="none" w:color="auto" w:sz="0" w:space="0"/>
                <w:shd w:val="clear" w:fill="FFFFFF"/>
              </w:rPr>
              <w:t>证明名称</w:t>
            </w:r>
          </w:p>
        </w:tc>
        <w:tc>
          <w:tcPr>
            <w:tcW w:w="1245" w:type="dxa"/>
            <w:vMerge w:val="restart"/>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0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bdr w:val="none" w:color="auto" w:sz="0" w:space="0"/>
                <w:shd w:val="clear" w:fill="FFFFFF"/>
              </w:rPr>
              <w:t>证明用途</w:t>
            </w:r>
          </w:p>
        </w:tc>
        <w:tc>
          <w:tcPr>
            <w:tcW w:w="5100"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0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bdr w:val="none" w:color="auto" w:sz="0" w:space="0"/>
                <w:shd w:val="clear" w:fill="FFFFFF"/>
              </w:rPr>
              <w:t>设定依据</w:t>
            </w:r>
          </w:p>
        </w:tc>
        <w:tc>
          <w:tcPr>
            <w:tcW w:w="1247" w:type="dxa"/>
            <w:vMerge w:val="restart"/>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0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bdr w:val="none" w:color="auto" w:sz="0" w:space="0"/>
                <w:shd w:val="clear" w:fill="FFFFFF"/>
              </w:rPr>
              <w:t>取消后的办理方式</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56" w:type="dxa"/>
            <w:vMerge w:val="continue"/>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rPr>
                <w:rFonts w:hint="default" w:ascii="Times New Roman" w:hAnsi="Times New Roman" w:eastAsia="宋体" w:cs="Times New Roman"/>
                <w:sz w:val="24"/>
                <w:szCs w:val="24"/>
              </w:rPr>
            </w:pPr>
          </w:p>
        </w:tc>
        <w:tc>
          <w:tcPr>
            <w:tcW w:w="1416" w:type="dxa"/>
            <w:vMerge w:val="continue"/>
            <w:tcBorders>
              <w:top w:val="single" w:color="000000" w:sz="8" w:space="0"/>
              <w:left w:val="nil"/>
              <w:bottom w:val="single" w:color="000000" w:sz="8" w:space="0"/>
              <w:right w:val="single" w:color="000000" w:sz="8" w:space="0"/>
            </w:tcBorders>
            <w:shd w:val="clear"/>
            <w:tcMar>
              <w:left w:w="108" w:type="dxa"/>
              <w:right w:w="108" w:type="dxa"/>
            </w:tcMar>
            <w:vAlign w:val="center"/>
          </w:tcPr>
          <w:p>
            <w:pPr>
              <w:rPr>
                <w:rFonts w:hint="default" w:ascii="Times New Roman" w:hAnsi="Times New Roman" w:eastAsia="宋体" w:cs="Times New Roman"/>
                <w:sz w:val="24"/>
                <w:szCs w:val="24"/>
              </w:rPr>
            </w:pPr>
          </w:p>
        </w:tc>
        <w:tc>
          <w:tcPr>
            <w:tcW w:w="1245" w:type="dxa"/>
            <w:vMerge w:val="continue"/>
            <w:tcBorders>
              <w:top w:val="single" w:color="000000" w:sz="8" w:space="0"/>
              <w:left w:val="nil"/>
              <w:bottom w:val="single" w:color="000000" w:sz="8" w:space="0"/>
              <w:right w:val="single" w:color="000000" w:sz="8" w:space="0"/>
            </w:tcBorders>
            <w:shd w:val="clear"/>
            <w:tcMar>
              <w:left w:w="108" w:type="dxa"/>
              <w:right w:w="108" w:type="dxa"/>
            </w:tcMar>
            <w:vAlign w:val="center"/>
          </w:tcPr>
          <w:p>
            <w:pPr>
              <w:rPr>
                <w:rFonts w:hint="default" w:ascii="Times New Roman" w:hAnsi="Times New Roman" w:eastAsia="宋体" w:cs="Times New Roman"/>
                <w:sz w:val="24"/>
                <w:szCs w:val="24"/>
              </w:rPr>
            </w:pPr>
          </w:p>
        </w:tc>
        <w:tc>
          <w:tcPr>
            <w:tcW w:w="510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0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bdr w:val="none" w:color="auto" w:sz="0" w:space="0"/>
                <w:shd w:val="clear" w:fill="FFFFFF"/>
              </w:rPr>
              <w:t>依据名称、文号及条文内容</w:t>
            </w:r>
          </w:p>
        </w:tc>
        <w:tc>
          <w:tcPr>
            <w:tcW w:w="1247" w:type="dxa"/>
            <w:vMerge w:val="continue"/>
            <w:tcBorders>
              <w:top w:val="single" w:color="000000" w:sz="8" w:space="0"/>
              <w:left w:val="nil"/>
              <w:bottom w:val="single" w:color="000000" w:sz="8" w:space="0"/>
              <w:right w:val="single" w:color="000000" w:sz="8" w:space="0"/>
            </w:tcBorders>
            <w:shd w:val="clear"/>
            <w:tcMar>
              <w:left w:w="108" w:type="dxa"/>
              <w:right w:w="108" w:type="dxa"/>
            </w:tcMar>
            <w:vAlign w:val="center"/>
          </w:tcPr>
          <w:p>
            <w:pPr>
              <w:rPr>
                <w:rFonts w:hint="default" w:ascii="Times New Roman" w:hAnsi="Times New Roman" w:eastAsia="宋体" w:cs="Times New Roman"/>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56"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0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bdr w:val="none" w:color="auto" w:sz="0" w:space="0"/>
                <w:shd w:val="clear" w:fill="FFFFFF"/>
                <w:lang w:val="en-US"/>
              </w:rPr>
              <w:t>1</w:t>
            </w:r>
          </w:p>
        </w:tc>
        <w:tc>
          <w:tcPr>
            <w:tcW w:w="14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6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利用建筑（构筑）物设置大型户外广告设施的建筑结构安全证明</w:t>
            </w:r>
          </w:p>
        </w:tc>
        <w:tc>
          <w:tcPr>
            <w:tcW w:w="12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设置大型户外广告的审批</w:t>
            </w:r>
          </w:p>
        </w:tc>
        <w:tc>
          <w:tcPr>
            <w:tcW w:w="51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泉州市人民政府关于印发泉州市城市户外广告设施设置管理规定和泉州市户外广告设施设置技术规定的通知》（泉政文〔2018〕21号）第十二点：（四）利用建筑（构筑）物设置大型户外广告设施的，应当提供原设计单位或者有相应设计资质的单位出具的建筑结构安全证明材料。</w:t>
            </w:r>
          </w:p>
        </w:tc>
        <w:tc>
          <w:tcPr>
            <w:tcW w:w="124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8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取消</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56"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0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bdr w:val="none" w:color="auto" w:sz="0" w:space="0"/>
                <w:shd w:val="clear" w:fill="FFFFFF"/>
                <w:lang w:val="en-US"/>
              </w:rPr>
              <w:t>2</w:t>
            </w:r>
          </w:p>
        </w:tc>
        <w:tc>
          <w:tcPr>
            <w:tcW w:w="14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6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设置户外广告设施的场地权属证明</w:t>
            </w:r>
          </w:p>
        </w:tc>
        <w:tc>
          <w:tcPr>
            <w:tcW w:w="12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设置大型户外广告的审批</w:t>
            </w:r>
          </w:p>
        </w:tc>
        <w:tc>
          <w:tcPr>
            <w:tcW w:w="51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6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《泉州市人民政府关于印发泉州市城市户外广告设施设置管理规定和泉州市户外广告设施设置技术规定的通知》（泉政文〔2018〕21号）第十二点：（六）场地权属证明或使用协议。</w:t>
            </w:r>
          </w:p>
        </w:tc>
        <w:tc>
          <w:tcPr>
            <w:tcW w:w="124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取消</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56"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0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bdr w:val="none" w:color="auto" w:sz="0" w:space="0"/>
                <w:shd w:val="clear" w:fill="FFFFFF"/>
                <w:lang w:val="en-US"/>
              </w:rPr>
              <w:t>3</w:t>
            </w:r>
          </w:p>
        </w:tc>
        <w:tc>
          <w:tcPr>
            <w:tcW w:w="14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6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虚拟产业园运营公司出具的住所托管证明</w:t>
            </w:r>
          </w:p>
        </w:tc>
        <w:tc>
          <w:tcPr>
            <w:tcW w:w="12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集群注册市场主体向登记机关申请登记提交的场所使用证明</w:t>
            </w:r>
          </w:p>
        </w:tc>
        <w:tc>
          <w:tcPr>
            <w:tcW w:w="51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泉州市人民政府关于印发泉州市网商（虚拟）产业园区集群注册登记管理暂行规定的通知》（泉政文〔2015〕74号）第六点第二项：集群企业凭运营公司出具的住所托管证明文件作为住所使用证明办理工商登记注册，无需提供房屋权属或者使用证明。允许将同一场所（地址）登记为多个集群企业的住所，登记机关不审查住所的经营条件和功能用途。</w:t>
            </w:r>
          </w:p>
        </w:tc>
        <w:tc>
          <w:tcPr>
            <w:tcW w:w="124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取消</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56"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0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bdr w:val="none" w:color="auto" w:sz="0" w:space="0"/>
                <w:shd w:val="clear" w:fill="FFFFFF"/>
                <w:lang w:val="en-US"/>
              </w:rPr>
              <w:t>4</w:t>
            </w:r>
          </w:p>
        </w:tc>
        <w:tc>
          <w:tcPr>
            <w:tcW w:w="14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6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县（市、区）级以上税务、统计、环保部门出具的近三年的税收证明、销售额证明及环保情况证明</w:t>
            </w:r>
          </w:p>
        </w:tc>
        <w:tc>
          <w:tcPr>
            <w:tcW w:w="1245"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0" w:lineRule="atLeast"/>
              <w:ind w:left="0" w:right="0"/>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bdr w:val="none" w:color="auto" w:sz="0" w:space="0"/>
                <w:shd w:val="clear" w:fill="FFFFFF"/>
              </w:rPr>
              <w:t>申报泉州市政府质量奖</w:t>
            </w:r>
          </w:p>
        </w:tc>
        <w:tc>
          <w:tcPr>
            <w:tcW w:w="510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tLeast"/>
              <w:ind w:left="0" w:right="0"/>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bdr w:val="none" w:color="auto" w:sz="0" w:space="0"/>
                <w:shd w:val="clear" w:fill="FFFFFF"/>
              </w:rPr>
              <w:t>《泉州市人民政府关于泉州市政府质量奖评选管理的实施意见》（泉政文〔</w:t>
            </w:r>
            <w:r>
              <w:rPr>
                <w:rFonts w:hint="default" w:ascii="Times New Roman" w:hAnsi="Times New Roman" w:eastAsia="宋体" w:cs="Times New Roman"/>
                <w:color w:val="000000"/>
                <w:sz w:val="24"/>
                <w:szCs w:val="24"/>
                <w:bdr w:val="none" w:color="auto" w:sz="0" w:space="0"/>
                <w:shd w:val="clear" w:fill="FFFFFF"/>
                <w:lang w:val="en-US"/>
              </w:rPr>
              <w:t>2012</w:t>
            </w:r>
            <w:r>
              <w:rPr>
                <w:rFonts w:hint="default" w:ascii="Times New Roman" w:hAnsi="Times New Roman" w:eastAsia="宋体" w:cs="Times New Roman"/>
                <w:color w:val="000000"/>
                <w:sz w:val="24"/>
                <w:szCs w:val="24"/>
                <w:bdr w:val="none" w:color="auto" w:sz="0" w:space="0"/>
                <w:shd w:val="clear" w:fill="FFFFFF"/>
              </w:rPr>
              <w:t>〕</w:t>
            </w:r>
            <w:r>
              <w:rPr>
                <w:rFonts w:hint="default" w:ascii="Times New Roman" w:hAnsi="Times New Roman" w:eastAsia="宋体" w:cs="Times New Roman"/>
                <w:color w:val="000000"/>
                <w:sz w:val="24"/>
                <w:szCs w:val="24"/>
                <w:bdr w:val="none" w:color="auto" w:sz="0" w:space="0"/>
                <w:shd w:val="clear" w:fill="FFFFFF"/>
                <w:lang w:val="en-US"/>
              </w:rPr>
              <w:t>260</w:t>
            </w:r>
            <w:r>
              <w:rPr>
                <w:rFonts w:hint="default" w:ascii="Times New Roman" w:hAnsi="Times New Roman" w:eastAsia="宋体" w:cs="Times New Roman"/>
                <w:color w:val="000000"/>
                <w:sz w:val="24"/>
                <w:szCs w:val="24"/>
                <w:bdr w:val="none" w:color="auto" w:sz="0" w:space="0"/>
                <w:shd w:val="clear" w:fill="FFFFFF"/>
              </w:rPr>
              <w:t>号），并参照省政府质量奖要求提供的申报材料要求。</w:t>
            </w:r>
          </w:p>
        </w:tc>
        <w:tc>
          <w:tcPr>
            <w:tcW w:w="124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可通过政府部门间核查</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56"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0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bdr w:val="none" w:color="auto" w:sz="0" w:space="0"/>
                <w:shd w:val="clear" w:fill="FFFFFF"/>
                <w:lang w:val="en-US"/>
              </w:rPr>
              <w:t>5</w:t>
            </w:r>
          </w:p>
        </w:tc>
        <w:tc>
          <w:tcPr>
            <w:tcW w:w="14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6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企业主导产品销售收入2014—2016年居全国前三位的，应提供国家有关部门或行业以及省直主管部门出具的证明</w:t>
            </w:r>
          </w:p>
        </w:tc>
        <w:tc>
          <w:tcPr>
            <w:tcW w:w="12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申报泉州市政府质量奖</w:t>
            </w:r>
          </w:p>
        </w:tc>
        <w:tc>
          <w:tcPr>
            <w:tcW w:w="510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0" w:lineRule="atLeast"/>
              <w:ind w:left="0" w:right="0"/>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bdr w:val="none" w:color="auto" w:sz="0" w:space="0"/>
                <w:shd w:val="clear" w:fill="FFFFFF"/>
              </w:rPr>
              <w:t>《泉州市人民政府关于泉州市政府质量奖评选管理的实施意见》（泉政文〔</w:t>
            </w:r>
            <w:r>
              <w:rPr>
                <w:rFonts w:hint="default" w:ascii="Times New Roman" w:hAnsi="Times New Roman" w:eastAsia="宋体" w:cs="Times New Roman"/>
                <w:color w:val="000000"/>
                <w:sz w:val="24"/>
                <w:szCs w:val="24"/>
                <w:bdr w:val="none" w:color="auto" w:sz="0" w:space="0"/>
                <w:shd w:val="clear" w:fill="FFFFFF"/>
                <w:lang w:val="en-US"/>
              </w:rPr>
              <w:t>2012</w:t>
            </w:r>
            <w:r>
              <w:rPr>
                <w:rFonts w:hint="default" w:ascii="Times New Roman" w:hAnsi="Times New Roman" w:eastAsia="宋体" w:cs="Times New Roman"/>
                <w:color w:val="000000"/>
                <w:sz w:val="24"/>
                <w:szCs w:val="24"/>
                <w:bdr w:val="none" w:color="auto" w:sz="0" w:space="0"/>
                <w:shd w:val="clear" w:fill="FFFFFF"/>
              </w:rPr>
              <w:t>〕</w:t>
            </w:r>
            <w:r>
              <w:rPr>
                <w:rFonts w:hint="default" w:ascii="Times New Roman" w:hAnsi="Times New Roman" w:eastAsia="宋体" w:cs="Times New Roman"/>
                <w:color w:val="000000"/>
                <w:sz w:val="24"/>
                <w:szCs w:val="24"/>
                <w:bdr w:val="none" w:color="auto" w:sz="0" w:space="0"/>
                <w:shd w:val="clear" w:fill="FFFFFF"/>
                <w:lang w:val="en-US"/>
              </w:rPr>
              <w:t>260</w:t>
            </w:r>
            <w:r>
              <w:rPr>
                <w:rFonts w:hint="default" w:ascii="Times New Roman" w:hAnsi="Times New Roman" w:eastAsia="宋体" w:cs="Times New Roman"/>
                <w:color w:val="000000"/>
                <w:sz w:val="24"/>
                <w:szCs w:val="24"/>
                <w:bdr w:val="none" w:color="auto" w:sz="0" w:space="0"/>
                <w:shd w:val="clear" w:fill="FFFFFF"/>
              </w:rPr>
              <w:t>号），并参照省政府质量奖要求提供的申报材料要求。</w:t>
            </w:r>
          </w:p>
        </w:tc>
        <w:tc>
          <w:tcPr>
            <w:tcW w:w="124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取消</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061" w:hRule="atLeast"/>
          <w:jc w:val="center"/>
        </w:trPr>
        <w:tc>
          <w:tcPr>
            <w:tcW w:w="456"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bdr w:val="none" w:color="auto" w:sz="0" w:space="0"/>
                <w:shd w:val="clear" w:fill="FFFFFF"/>
                <w:lang w:val="en-US"/>
              </w:rPr>
              <w:t>6</w:t>
            </w:r>
          </w:p>
        </w:tc>
        <w:tc>
          <w:tcPr>
            <w:tcW w:w="14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产权人的关系证明</w:t>
            </w:r>
          </w:p>
        </w:tc>
        <w:tc>
          <w:tcPr>
            <w:tcW w:w="12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申请危房整治审批</w:t>
            </w:r>
          </w:p>
        </w:tc>
        <w:tc>
          <w:tcPr>
            <w:tcW w:w="51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泉州市人民政府办公室关于做好泉州古城保护与危房整治实施中无法以产权人名义申请审批相关工作的通知》（泉政办〔2016〕75号）附件中第三点：原产权人的法定继承人应当提供其与产权人的关系证明（由户籍管理部门或公证机关出具证明）以及其无法办理继承手续的原因说明和无法取得其他继承人同意对房屋进行整治的原因说明。</w:t>
            </w:r>
          </w:p>
        </w:tc>
        <w:tc>
          <w:tcPr>
            <w:tcW w:w="124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8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取消</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56"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0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bdr w:val="none" w:color="auto" w:sz="0" w:space="0"/>
                <w:shd w:val="clear" w:fill="FFFFFF"/>
                <w:lang w:val="en-US"/>
              </w:rPr>
              <w:t>7</w:t>
            </w:r>
          </w:p>
        </w:tc>
        <w:tc>
          <w:tcPr>
            <w:tcW w:w="14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应当提供其合法使用该房屋的书面证明或者原产权人授权委托的证明</w:t>
            </w:r>
          </w:p>
        </w:tc>
        <w:tc>
          <w:tcPr>
            <w:tcW w:w="12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申请危房整治审批</w:t>
            </w:r>
          </w:p>
        </w:tc>
        <w:tc>
          <w:tcPr>
            <w:tcW w:w="510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4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泉州市人民政府办公室关于做好泉州古城保护与危房整治实施中无法以产权人名义申请审批相关工作的通知》（泉政办〔2016〕75号）附件中第四点：房屋的使用人、委托管理人（或其继承人）应当提供其合法使用该房屋的书面证明或者原产权人授权委托的证明材料（委托管理人的继承人还应提供其与委托管理人的关系证明）。</w:t>
            </w:r>
          </w:p>
        </w:tc>
        <w:tc>
          <w:tcPr>
            <w:tcW w:w="124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取消</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56"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0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bdr w:val="none" w:color="auto" w:sz="0" w:space="0"/>
                <w:shd w:val="clear" w:fill="FFFFFF"/>
                <w:lang w:val="en-US"/>
              </w:rPr>
              <w:t>8</w:t>
            </w:r>
          </w:p>
        </w:tc>
        <w:tc>
          <w:tcPr>
            <w:tcW w:w="14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鲤城区人民政府指定代为申请房屋整治的证明</w:t>
            </w:r>
          </w:p>
        </w:tc>
        <w:tc>
          <w:tcPr>
            <w:tcW w:w="12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申请危房整治审批</w:t>
            </w:r>
          </w:p>
        </w:tc>
        <w:tc>
          <w:tcPr>
            <w:tcW w:w="5100"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60" w:lineRule="atLeast"/>
              <w:ind w:left="0" w:right="0"/>
              <w:jc w:val="both"/>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bdr w:val="none" w:color="auto" w:sz="0" w:space="0"/>
                <w:shd w:val="clear" w:fill="FFFFFF"/>
              </w:rPr>
              <w:t>《泉州市人民政府办公室关于做好泉州古城保护与危房整治实施中无法以产权人名义申请审批相关工作的通知》（泉政办〔</w:t>
            </w:r>
            <w:r>
              <w:rPr>
                <w:rFonts w:hint="default" w:ascii="Times New Roman" w:hAnsi="Times New Roman" w:eastAsia="宋体" w:cs="Times New Roman"/>
                <w:color w:val="000000"/>
                <w:sz w:val="24"/>
                <w:szCs w:val="24"/>
                <w:bdr w:val="none" w:color="auto" w:sz="0" w:space="0"/>
                <w:shd w:val="clear" w:fill="FFFFFF"/>
                <w:lang w:val="en-US"/>
              </w:rPr>
              <w:t>2016</w:t>
            </w:r>
            <w:r>
              <w:rPr>
                <w:rFonts w:hint="default" w:ascii="Times New Roman" w:hAnsi="Times New Roman" w:eastAsia="宋体" w:cs="Times New Roman"/>
                <w:color w:val="000000"/>
                <w:sz w:val="24"/>
                <w:szCs w:val="24"/>
                <w:bdr w:val="none" w:color="auto" w:sz="0" w:space="0"/>
                <w:shd w:val="clear" w:fill="FFFFFF"/>
              </w:rPr>
              <w:t>〕</w:t>
            </w:r>
            <w:r>
              <w:rPr>
                <w:rFonts w:hint="default" w:ascii="Times New Roman" w:hAnsi="Times New Roman" w:eastAsia="宋体" w:cs="Times New Roman"/>
                <w:color w:val="000000"/>
                <w:sz w:val="24"/>
                <w:szCs w:val="24"/>
                <w:bdr w:val="none" w:color="auto" w:sz="0" w:space="0"/>
                <w:shd w:val="clear" w:fill="FFFFFF"/>
                <w:lang w:val="en-US"/>
              </w:rPr>
              <w:t>75</w:t>
            </w:r>
            <w:r>
              <w:rPr>
                <w:rFonts w:hint="default" w:ascii="Times New Roman" w:hAnsi="Times New Roman" w:eastAsia="宋体" w:cs="Times New Roman"/>
                <w:color w:val="000000"/>
                <w:sz w:val="24"/>
                <w:szCs w:val="24"/>
                <w:bdr w:val="none" w:color="auto" w:sz="0" w:space="0"/>
                <w:shd w:val="clear" w:fill="FFFFFF"/>
              </w:rPr>
              <w:t>号）附件中第五点：鲤城区人民政府指定代为申请房屋整治的证明材料。</w:t>
            </w:r>
          </w:p>
        </w:tc>
        <w:tc>
          <w:tcPr>
            <w:tcW w:w="124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bdr w:val="none" w:color="auto" w:sz="0" w:space="0"/>
                <w:lang w:val="en-US" w:eastAsia="zh-CN" w:bidi="ar"/>
              </w:rPr>
              <w:t>取消</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宋体" w:cs="Times New Roman"/>
          <w:b w:val="0"/>
          <w:i w:val="0"/>
          <w:caps w:val="0"/>
          <w:color w:val="555555"/>
          <w:spacing w:val="0"/>
          <w:sz w:val="24"/>
          <w:szCs w:val="24"/>
        </w:rPr>
      </w:pPr>
      <w:r>
        <w:rPr>
          <w:rFonts w:hint="default" w:ascii="Times New Roman" w:hAnsi="Times New Roman" w:eastAsia="宋体" w:cs="Times New Roman"/>
          <w:b w:val="0"/>
          <w:i w:val="0"/>
          <w:caps w:val="0"/>
          <w:color w:val="555555"/>
          <w:spacing w:val="0"/>
          <w:sz w:val="24"/>
          <w:szCs w:val="24"/>
          <w:bdr w:val="none" w:color="auto" w:sz="0" w:space="0"/>
          <w:shd w:val="clear" w:fill="FFFFFF"/>
        </w:rPr>
        <w:t> </w:t>
      </w:r>
    </w:p>
    <w:p>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555253"/>
    <w:rsid w:val="17786B6D"/>
    <w:rsid w:val="42555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2019-05-13T09:30:00Z</dcterms:created>
  <dc:creator>Abellin</dc:creator>
  <cp:lastModifiedBy>Abellin</cp:lastModifiedBy>
  <dcterms:modified xsi:type="dcterms:W3CDTF">2019-05-13T09:31:08Z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