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tabs>
          <w:tab w:val="left" w:pos="7560"/>
        </w:tabs>
        <w:kinsoku/>
        <w:wordWrap/>
        <w:overflowPunct/>
        <w:topLinePunct w:val="0"/>
        <w:autoSpaceDE/>
        <w:autoSpaceDN/>
        <w:bidi w:val="0"/>
        <w:adjustRightInd/>
        <w:snapToGrid/>
        <w:spacing w:line="500" w:lineRule="exact"/>
        <w:textAlignment w:val="auto"/>
        <w:rPr>
          <w:rFonts w:ascii="黑体" w:eastAsia="黑体" w:cs="黑体"/>
          <w:kern w:val="0"/>
          <w:sz w:val="32"/>
          <w:szCs w:val="32"/>
          <w:lang w:bidi="ar-SA"/>
        </w:rPr>
      </w:pPr>
      <w:bookmarkStart w:id="0" w:name="_GoBack"/>
      <w:bookmarkEnd w:id="0"/>
      <w:r>
        <w:rPr>
          <w:rFonts w:hint="eastAsia" w:ascii="黑体" w:eastAsia="黑体" w:cs="黑体"/>
          <w:kern w:val="0"/>
          <w:sz w:val="32"/>
          <w:szCs w:val="32"/>
          <w:lang w:bidi="ar-SA"/>
        </w:rPr>
        <w:t>附件</w:t>
      </w:r>
    </w:p>
    <w:p>
      <w:pPr>
        <w:pStyle w:val="2"/>
        <w:keepNext w:val="0"/>
        <w:keepLines w:val="0"/>
        <w:pageBreakBefore w:val="0"/>
        <w:widowControl w:val="0"/>
        <w:kinsoku/>
        <w:wordWrap/>
        <w:overflowPunct/>
        <w:topLinePunct w:val="0"/>
        <w:autoSpaceDE/>
        <w:autoSpaceDN/>
        <w:bidi w:val="0"/>
        <w:adjustRightInd/>
        <w:snapToGrid/>
        <w:spacing w:after="0" w:line="640" w:lineRule="exact"/>
        <w:ind w:firstLine="440" w:firstLineChars="100"/>
        <w:jc w:val="center"/>
        <w:textAlignment w:val="auto"/>
        <w:rPr>
          <w:rFonts w:ascii="方正小标宋简体" w:eastAsia="方正小标宋简体"/>
          <w:sz w:val="44"/>
          <w:szCs w:val="44"/>
        </w:rPr>
      </w:pPr>
      <w:r>
        <w:rPr>
          <w:rFonts w:hint="eastAsia" w:ascii="方正小标宋简体" w:eastAsia="方正小标宋简体"/>
          <w:sz w:val="44"/>
          <w:szCs w:val="44"/>
        </w:rPr>
        <w:t>2023年度第</w:t>
      </w:r>
      <w:r>
        <w:rPr>
          <w:rFonts w:ascii="方正小标宋简体" w:eastAsia="方正小标宋简体"/>
          <w:sz w:val="44"/>
          <w:szCs w:val="44"/>
        </w:rPr>
        <w:t>二</w:t>
      </w:r>
      <w:r>
        <w:rPr>
          <w:rFonts w:hint="eastAsia" w:ascii="方正小标宋简体" w:eastAsia="方正小标宋简体"/>
          <w:sz w:val="44"/>
          <w:szCs w:val="44"/>
        </w:rPr>
        <w:t>批泉州市高层次人才创新创业</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项目建议立项结果（2</w:t>
      </w:r>
      <w:r>
        <w:rPr>
          <w:rFonts w:ascii="方正小标宋简体" w:eastAsia="方正小标宋简体"/>
          <w:sz w:val="44"/>
          <w:szCs w:val="44"/>
        </w:rPr>
        <w:t>1</w:t>
      </w:r>
      <w:r>
        <w:rPr>
          <w:rFonts w:hint="eastAsia" w:ascii="方正小标宋简体" w:eastAsia="方正小标宋简体"/>
          <w:sz w:val="44"/>
          <w:szCs w:val="44"/>
        </w:rPr>
        <w:t>项）</w:t>
      </w:r>
    </w:p>
    <w:tbl>
      <w:tblPr>
        <w:tblStyle w:val="4"/>
        <w:tblW w:w="8813" w:type="dxa"/>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3780"/>
        <w:gridCol w:w="1181"/>
        <w:gridCol w:w="3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_GB2312" w:eastAsia="仿宋_GB2312" w:cs="仿宋_GB2312"/>
                <w:b/>
                <w:bCs/>
                <w:color w:val="000000"/>
                <w:sz w:val="22"/>
                <w:szCs w:val="22"/>
                <w:lang w:bidi="ar-SA"/>
              </w:rPr>
            </w:pPr>
            <w:r>
              <w:rPr>
                <w:rFonts w:hint="eastAsia" w:ascii="仿宋_GB2312" w:eastAsia="仿宋_GB2312" w:cs="仿宋_GB2312"/>
                <w:b/>
                <w:bCs/>
                <w:color w:val="000000"/>
                <w:sz w:val="22"/>
                <w:szCs w:val="22"/>
                <w:lang w:bidi="ar-SA"/>
              </w:rPr>
              <w:t>序号</w:t>
            </w:r>
          </w:p>
        </w:tc>
        <w:tc>
          <w:tcPr>
            <w:tcW w:w="3780"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_GB2312" w:eastAsia="仿宋_GB2312" w:cs="仿宋_GB2312"/>
                <w:b/>
                <w:bCs/>
                <w:color w:val="000000"/>
                <w:sz w:val="22"/>
                <w:szCs w:val="22"/>
                <w:lang w:bidi="ar-SA"/>
              </w:rPr>
            </w:pPr>
            <w:r>
              <w:rPr>
                <w:rFonts w:hint="eastAsia" w:ascii="仿宋_GB2312" w:eastAsia="仿宋_GB2312" w:cs="仿宋_GB2312"/>
                <w:b/>
                <w:bCs/>
                <w:color w:val="000000"/>
                <w:sz w:val="22"/>
                <w:szCs w:val="22"/>
                <w:lang w:bidi="ar-SA"/>
              </w:rPr>
              <w:t>项目名称</w:t>
            </w:r>
          </w:p>
        </w:tc>
        <w:tc>
          <w:tcPr>
            <w:tcW w:w="1181"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_GB2312" w:eastAsia="仿宋_GB2312" w:cs="仿宋_GB2312"/>
                <w:b/>
                <w:bCs/>
                <w:color w:val="000000"/>
                <w:sz w:val="22"/>
                <w:szCs w:val="22"/>
                <w:lang w:bidi="ar-SA"/>
              </w:rPr>
            </w:pPr>
            <w:r>
              <w:rPr>
                <w:rFonts w:hint="eastAsia" w:ascii="仿宋_GB2312" w:eastAsia="仿宋_GB2312" w:cs="仿宋_GB2312"/>
                <w:b/>
                <w:bCs/>
                <w:color w:val="000000"/>
                <w:sz w:val="22"/>
                <w:szCs w:val="22"/>
                <w:lang w:bidi="ar-SA"/>
              </w:rPr>
              <w:t>项目</w:t>
            </w:r>
          </w:p>
          <w:p>
            <w:pPr>
              <w:jc w:val="center"/>
              <w:rPr>
                <w:rFonts w:hint="eastAsia" w:ascii="仿宋_GB2312" w:eastAsia="仿宋_GB2312" w:cs="仿宋_GB2312"/>
                <w:b/>
                <w:bCs/>
                <w:color w:val="000000"/>
                <w:sz w:val="22"/>
                <w:szCs w:val="22"/>
                <w:lang w:bidi="ar-SA"/>
              </w:rPr>
            </w:pPr>
            <w:r>
              <w:rPr>
                <w:rFonts w:hint="eastAsia" w:ascii="仿宋_GB2312" w:eastAsia="仿宋_GB2312" w:cs="仿宋_GB2312"/>
                <w:b/>
                <w:bCs/>
                <w:color w:val="000000"/>
                <w:sz w:val="22"/>
                <w:szCs w:val="22"/>
                <w:lang w:bidi="ar-SA"/>
              </w:rPr>
              <w:t>负责人</w:t>
            </w:r>
          </w:p>
        </w:tc>
        <w:tc>
          <w:tcPr>
            <w:tcW w:w="3132"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仿宋_GB2312" w:eastAsia="仿宋_GB2312" w:cs="仿宋_GB2312"/>
                <w:b/>
                <w:bCs/>
                <w:color w:val="000000"/>
                <w:sz w:val="22"/>
                <w:szCs w:val="22"/>
                <w:lang w:bidi="ar-SA"/>
              </w:rPr>
            </w:pPr>
            <w:r>
              <w:rPr>
                <w:rFonts w:hint="eastAsia" w:ascii="仿宋_GB2312" w:eastAsia="仿宋_GB2312" w:cs="仿宋_GB2312"/>
                <w:b/>
                <w:bCs/>
                <w:color w:val="000000"/>
                <w:sz w:val="22"/>
                <w:szCs w:val="22"/>
                <w:lang w:bidi="ar-SA"/>
              </w:rPr>
              <w:t>承担单位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2"/>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1</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FAM19A5介导自噬在非酒精性脂肪肝脂肪变性中的作用及机制</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张翼</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泉州市第一医院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2"/>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2</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从表观遗传学层面探讨运动训练干预在宫内缺氧诱导的子代动脉粥样硬化中的作用及机制</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王振华</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福建医科大学附属第二医院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2"/>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3</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神经细胞含线粒体DNA细胞外囊泡调控成纤维细胞cGAS-STING通路致脊髓损伤后疤痕形成</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姚学东</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福建医科大学附属第二医院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2"/>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4</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免疫基因对2型糖尿病周围神经病变的影响和分子机制研究</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陈晓毓</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福建医科大学附属第二医院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2"/>
                <w:sz w:val="24"/>
                <w:szCs w:val="24"/>
                <w:u w:val="none"/>
                <w:lang w:val="en-US" w:eastAsia="zh-CN" w:bidi="ar-SA"/>
              </w:rPr>
            </w:pPr>
            <w:r>
              <w:rPr>
                <w:rFonts w:hint="eastAsia" w:ascii="仿宋_GB2312" w:eastAsia="仿宋_GB2312" w:cs="仿宋_GB2312"/>
                <w:i w:val="0"/>
                <w:color w:val="000000"/>
                <w:kern w:val="0"/>
                <w:sz w:val="24"/>
                <w:szCs w:val="24"/>
                <w:u w:val="none"/>
                <w:lang w:val="en-US" w:eastAsia="zh-CN"/>
              </w:rPr>
              <w:t>5</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基于微流控芯片技术对视神经脊髓炎AQP-4抗体即时检测新方法研究</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陈春暖</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福建医科大学附属第二医院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6</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RAGE通路介导小胶质细胞极化在糖尿病抑郁障碍中的作用及机制研究</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黄银琼</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福建医科大学附属第二医院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7</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YTHDF1调控胆固醇代谢增强CD44+CD24-/low乳腺癌干细胞干性的机制研究</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洪志鹏</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泉州市第一医院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8</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m6A修饰介导XIST影响膀胱癌生存性别偏倚的机制研究</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庄伟</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福建医科大学附属第二医院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9</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基于血清蛋白组学辅助诊断ERCP术后胰腺炎</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陈津</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福建医科大学附属第二医院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10</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胶束疫苗疗法在林奇综合征结肠癌治疗中的疗效及其机制研究</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叶凯</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福建医科大学附属第二医院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11</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基于深度学习影像组学的乳腺X线风险预测模型</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蔡思清</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福建医科大学附属第二医院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12</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光驱动烯烃串联的糖基化反应便捷构筑医药分子骨架的研究</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王连会</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华侨大学医学院（分子药物研究院）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13</w:t>
            </w:r>
          </w:p>
        </w:tc>
        <w:tc>
          <w:tcPr>
            <w:tcW w:w="3780"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组织外泌体 miR-150-5p 介导的巨噬细胞焦亡在动脉粥样硬化中的作用机制研究</w:t>
            </w:r>
          </w:p>
        </w:tc>
        <w:tc>
          <w:tcPr>
            <w:tcW w:w="1181"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林晖莉</w:t>
            </w:r>
          </w:p>
        </w:tc>
        <w:tc>
          <w:tcPr>
            <w:tcW w:w="3132"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福建医科大学附属第二医院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9" w:hRule="atLeast"/>
        </w:trPr>
        <w:tc>
          <w:tcPr>
            <w:tcW w:w="720" w:type="dxa"/>
            <w:tcBorders>
              <w:top w:val="single" w:color="auto" w:sz="6" w:space="0"/>
              <w:left w:val="single" w:color="auto" w:sz="6" w:space="0"/>
              <w:bottom w:val="single" w:color="auto" w:sz="4" w:space="0"/>
              <w:right w:val="single" w:color="auto" w:sz="6"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14</w:t>
            </w:r>
          </w:p>
        </w:tc>
        <w:tc>
          <w:tcPr>
            <w:tcW w:w="3780" w:type="dxa"/>
            <w:tcBorders>
              <w:top w:val="single" w:color="auto" w:sz="6" w:space="0"/>
              <w:left w:val="single" w:color="auto" w:sz="6" w:space="0"/>
              <w:bottom w:val="single" w:color="auto" w:sz="4"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早产儿胎盘病理改变及其婴幼儿期脑发育队列研究</w:t>
            </w:r>
          </w:p>
        </w:tc>
        <w:tc>
          <w:tcPr>
            <w:tcW w:w="1181" w:type="dxa"/>
            <w:tcBorders>
              <w:top w:val="single" w:color="auto" w:sz="6" w:space="0"/>
              <w:left w:val="single" w:color="auto" w:sz="6" w:space="0"/>
              <w:bottom w:val="single" w:color="auto" w:sz="4" w:space="0"/>
              <w:right w:val="single" w:color="auto" w:sz="6"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苏翠敏</w:t>
            </w:r>
          </w:p>
        </w:tc>
        <w:tc>
          <w:tcPr>
            <w:tcW w:w="3132" w:type="dxa"/>
            <w:tcBorders>
              <w:top w:val="single" w:color="auto" w:sz="6" w:space="0"/>
              <w:left w:val="single" w:color="auto" w:sz="6" w:space="0"/>
              <w:bottom w:val="single" w:color="auto" w:sz="4"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晋江市医院（上海市第六人民医院福建医院）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15</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Rg3调控组蛋白H3乳酸化介导的CXCL8-CXCR 1/2信号通路抑制三阴性乳腺癌血管生成的 研究</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许天文</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福建医科大学附属第二医院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16</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丹参酮对睑板腺功能障碍的治疗效果及其机制</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高莹莹</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福建医科大学附属第二医院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17</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miR-23a-3p抑制碳酸酐酶II（CAⅡ）表达介导肝内胆管癌细胞上皮间质转化（EMT）和转移的相关分子机制研究</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王艳军</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福建医科大学附属第二医院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18</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小胶质细胞调控神经元线粒体过度分裂参与POCD发生的机制研究</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谢文钦</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泉州市第一医院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19</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PERK信号通路在急性青光眼大鼠视网膜组织细胞自噬中的调控作用</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吴瑜瑜</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福建医科大学附属第二医院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20</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血清GP73和IL-6在慢加急性肝衰竭糖皮质激素治疗时机及预后价值中的研究</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许正锯</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中国人民解放军联勤保障部队第九一</w:t>
            </w:r>
            <w:r>
              <w:rPr>
                <w:rFonts w:hint="eastAsia" w:ascii="仿宋_GB2312" w:hAnsi="仿宋_GB2312" w:cs="宋体"/>
                <w:kern w:val="0"/>
                <w:sz w:val="24"/>
              </w:rPr>
              <w:t>〇</w:t>
            </w:r>
            <w:r>
              <w:rPr>
                <w:rFonts w:hint="eastAsia" w:ascii="仿宋_GB2312" w:eastAsia="仿宋_GB2312" w:cs="宋体"/>
                <w:kern w:val="0"/>
                <w:sz w:val="24"/>
              </w:rPr>
              <w:t>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eastAsia="仿宋_GB2312" w:cs="仿宋_GB2312"/>
                <w:i w:val="0"/>
                <w:color w:val="000000"/>
                <w:kern w:val="0"/>
                <w:sz w:val="24"/>
                <w:szCs w:val="24"/>
                <w:u w:val="none"/>
                <w:lang w:val="en-US" w:eastAsia="zh-CN"/>
              </w:rPr>
            </w:pPr>
            <w:r>
              <w:rPr>
                <w:rFonts w:hint="eastAsia" w:ascii="仿宋_GB2312" w:eastAsia="仿宋_GB2312" w:cs="仿宋_GB2312"/>
                <w:i w:val="0"/>
                <w:color w:val="000000"/>
                <w:kern w:val="0"/>
                <w:sz w:val="24"/>
                <w:szCs w:val="24"/>
                <w:u w:val="none"/>
                <w:lang w:val="en-US" w:eastAsia="zh-CN"/>
              </w:rPr>
              <w:t>21</w:t>
            </w:r>
          </w:p>
        </w:tc>
        <w:tc>
          <w:tcPr>
            <w:tcW w:w="37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新型肿瘤标志物试剂盒的研发</w:t>
            </w:r>
          </w:p>
        </w:tc>
        <w:tc>
          <w:tcPr>
            <w:tcW w:w="11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300" w:lineRule="exact"/>
              <w:jc w:val="center"/>
              <w:rPr>
                <w:rFonts w:hint="eastAsia" w:ascii="仿宋_GB2312" w:eastAsia="仿宋_GB2312" w:cs="宋体"/>
                <w:kern w:val="0"/>
                <w:sz w:val="24"/>
              </w:rPr>
            </w:pPr>
            <w:r>
              <w:rPr>
                <w:rFonts w:hint="eastAsia" w:ascii="仿宋_GB2312" w:eastAsia="仿宋_GB2312" w:cs="宋体"/>
                <w:kern w:val="0"/>
                <w:sz w:val="24"/>
              </w:rPr>
              <w:t>庄贞静</w:t>
            </w:r>
          </w:p>
        </w:tc>
        <w:tc>
          <w:tcPr>
            <w:tcW w:w="31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s="宋体"/>
                <w:kern w:val="0"/>
                <w:sz w:val="24"/>
              </w:rPr>
            </w:pPr>
            <w:r>
              <w:rPr>
                <w:rFonts w:hint="eastAsia" w:ascii="仿宋_GB2312" w:eastAsia="仿宋_GB2312" w:cs="宋体"/>
                <w:kern w:val="0"/>
                <w:sz w:val="24"/>
              </w:rPr>
              <w:t>华侨大学医学院（分子药物研究院）</w:t>
            </w:r>
          </w:p>
        </w:tc>
      </w:tr>
    </w:tbl>
    <w:p>
      <w:pPr>
        <w:pStyle w:val="2"/>
        <w:ind w:left="0" w:firstLine="0" w:firstLineChars="0"/>
        <w:rPr>
          <w:rFonts w:hint="eastAsia" w:ascii="仿宋_GB2312" w:eastAsia="仿宋_GB2312" w:cs="宋体"/>
          <w:kern w:val="0"/>
          <w:sz w:val="32"/>
          <w:szCs w:val="32"/>
        </w:rPr>
      </w:pPr>
    </w:p>
    <w:sectPr>
      <w:pgSz w:w="11907" w:h="16840"/>
      <w:pgMar w:top="2098" w:right="1418" w:bottom="1089"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NzRiMzBiYzlmZTYyMWFmZDkxZWZiODUzYTNlMDA5YzcifQ=="/>
  </w:docVars>
  <w:rsids>
    <w:rsidRoot w:val="00000000"/>
    <w:rsid w:val="2E756E38"/>
    <w:rsid w:val="3FF41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iPriority w:val="0"/>
    <w:pPr>
      <w:spacing w:after="120" w:line="240" w:lineRule="auto"/>
      <w:ind w:firstLine="100" w:firstLineChars="100"/>
    </w:pPr>
  </w:style>
  <w:style w:type="paragraph" w:styleId="3">
    <w:name w:val="Body Text"/>
    <w:basedOn w:val="1"/>
    <w:uiPriority w:val="0"/>
    <w:rPr>
      <w:rFonts w:ascii="宋体"/>
      <w:sz w:val="36"/>
    </w:rPr>
  </w:style>
  <w:style w:type="character" w:styleId="6">
    <w:name w:val="FollowedHyperlink"/>
    <w:basedOn w:val="5"/>
    <w:uiPriority w:val="0"/>
    <w:rPr>
      <w:color w:val="800080"/>
      <w:u w:val="single"/>
    </w:rPr>
  </w:style>
  <w:style w:type="character" w:styleId="7">
    <w:name w:val="Hyperlink"/>
    <w:basedOn w:val="5"/>
    <w:uiPriority w:val="0"/>
    <w:rPr>
      <w:color w:val="0000FF"/>
      <w:u w:val="single"/>
    </w:rPr>
  </w:style>
  <w:style w:type="character" w:customStyle="1" w:styleId="8">
    <w:name w:val="font21"/>
    <w:basedOn w:val="5"/>
    <w:uiPriority w:val="0"/>
    <w:rPr>
      <w:rFonts w:ascii="Arial" w:hAnsi="Arial" w:cs="Arial"/>
      <w:color w:val="000000"/>
      <w:sz w:val="22"/>
      <w:szCs w:val="22"/>
      <w:u w:val="none"/>
    </w:rPr>
  </w:style>
  <w:style w:type="character" w:customStyle="1" w:styleId="9">
    <w:name w:val="font61"/>
    <w:basedOn w:val="5"/>
    <w:qFormat/>
    <w:uiPriority w:val="0"/>
    <w:rPr>
      <w:rFonts w:asci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Pages>
  <Words>1296</Words>
  <Characters>1466</Characters>
  <Lines>151</Lines>
  <Paragraphs>100</Paragraphs>
  <TotalTime>203</TotalTime>
  <ScaleCrop>false</ScaleCrop>
  <LinksUpToDate>false</LinksUpToDate>
  <CharactersWithSpaces>1476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2022-08-19T00:06:00Z</dcterms:created>
  <dc:creator>thtf</dc:creator>
  <cp:lastModifiedBy>积极的</cp:lastModifiedBy>
  <cp:lastPrinted>2023-07-21T02:46:00Z</cp:lastPrinted>
  <dcterms:modified xsi:type="dcterms:W3CDTF">2023-10-24T07:52:06Z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E45FA5105A774D56AEDD53E74E9C3DCA_13</vt:lpwstr>
  </property>
</Properties>
</file>