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CESI黑体-GB2312" w:hAnsi="CESI黑体-GB2312" w:eastAsia="CESI黑体-GB2312" w:cs="CESI黑体-GB2312"/>
          <w:b w:val="0"/>
          <w:bCs w:val="0"/>
          <w:i w:val="0"/>
          <w:iCs w:val="0"/>
          <w:caps w:val="0"/>
          <w:color w:val="333333"/>
          <w:spacing w:val="0"/>
          <w:sz w:val="32"/>
          <w:szCs w:val="32"/>
          <w:shd w:val="clear" w:fill="FFFFFF"/>
          <w:lang w:val="en-US" w:eastAsia="zh-CN"/>
        </w:rPr>
      </w:pPr>
      <w:r>
        <w:rPr>
          <w:rFonts w:hint="eastAsia" w:ascii="CESI黑体-GB2312" w:hAnsi="CESI黑体-GB2312" w:eastAsia="CESI黑体-GB2312" w:cs="CESI黑体-GB2312"/>
          <w:b w:val="0"/>
          <w:bCs w:val="0"/>
          <w:i w:val="0"/>
          <w:iCs w:val="0"/>
          <w:caps w:val="0"/>
          <w:color w:val="333333"/>
          <w:spacing w:val="0"/>
          <w:sz w:val="32"/>
          <w:szCs w:val="32"/>
          <w:shd w:val="clear" w:fill="FFFFFF"/>
          <w:lang w:eastAsia="zh-CN"/>
        </w:rPr>
        <w:t>附件</w:t>
      </w:r>
      <w:r>
        <w:rPr>
          <w:rFonts w:hint="eastAsia" w:ascii="CESI黑体-GB2312" w:hAnsi="CESI黑体-GB2312" w:eastAsia="CESI黑体-GB2312" w:cs="CESI黑体-GB2312"/>
          <w:b w:val="0"/>
          <w:bCs w:val="0"/>
          <w:i w:val="0"/>
          <w:iCs w:val="0"/>
          <w:caps w:val="0"/>
          <w:color w:val="333333"/>
          <w:spacing w:val="0"/>
          <w:sz w:val="32"/>
          <w:szCs w:val="32"/>
          <w:shd w:val="clear" w:fill="FFFFFF"/>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《泉州市科技创新券管理规定》</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起草说明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一、政策背景</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为进一步优化泉州市创新创业生态体系，促进科技创新平台高质量服务企业，推动科技资源开放共享，2021年3月15日市科技局、市财政局联合制定出台《泉州市科技创新券管理规定》（泉科〔2021〕29号），目前该政策有效期已过。我局根据《中共泉州市委 泉州市人民政府关于加强创新驱动引领高质量发展的实施意见》《泉州市促进科技成果转化落地若干措施》（泉政办规〔2023〕13号）等有关文件精神赋予的科技创新券新内涵、新功能，同时结合前期政策实施过程中出现的一些情况，对《泉州市科技创新券管理规定》（以下简称“规定”）相关内容进行了修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二、修订后主要内容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《规定》包括总则、服务机构、创新券申领、使用与兑现、立项和拨付、监督管理、附则等七个部分，共23</w:t>
      </w:r>
      <w:r>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t>条。</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一是总则,</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包括政策出台的背景、相关部门职责、经费使用及管理等内容。明确市科技行政主管部门负责制定创新券相关政策，编制年度申请指南，建设服务机构库等事项；创新券的明确使用和管理遵循鼓励创新、公开透明、规范管理、跟踪监督、绩效评价、先用先得的原则；明确创新券兑现资金由市本级财政预算安排，列入年度财政预算。</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二是服务机构</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包括服务机构范围、条件、申请程序及审核审批等内容。明确服务机构是指提供科技服务的高校、科研院所、新型研发机构、重点实验室、工程（技术）研究中心、中试服务平台（基地）、概念验证中心等机构；明确服务机构向市科技行政主管部门申请，经审核、公示等程序后，纳入服务机构，有效期三年。</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三是创新券申请，</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包括申请创新券的企业所必须的条件、申请程序以及最高申请额度等内容。明确企业应当是在泉州市依法注册，具有独立法人资格，且符合《中小企业划型标准规定》（工信部联企业〔2011〕300号）划定标准的中小微企业；明确企业申请创新券额度不高于合同技术交易额的</w:t>
      </w:r>
      <w:r>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t>30%，每家企业每年度申领创新券不超过50万元。</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四是使用与兑现，</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包括创新券支持的服务范围、兑现条件及所需提交材料等内容。明确创新券服务范围包括技术开发、技术转让、技术许可、技术咨询、技术服务等五个方面；明确兑现需在线填报项目申请表，提供服务合同及服务结果凭证等材料。</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五是立项和拨付，</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包括创新券的组织、立项及拨付等内容。明确由市科技行政主管部门通过信息管理平台常态化受理服务机构申请、创新券申领、创新券兑现等事项，并对拟纳入服务机构、拟资助项目名单、拟兑现名单进行公示，接受社会监督和意见反馈；明确市科技行政主管部门可以自行或者委托第三方机构对服务机构申报、创新券申领、创新券兑现等项目进行承办。</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六是监督管理，</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明确企业和服务机构要坚守科研诚信，自觉接受监督检查；明确对在创新券申领、使用、兑现过程中存在违规操作的企业和服务机构要进行严肃处理。</w:t>
      </w:r>
    </w:p>
    <w:p>
      <w:pPr>
        <w:pStyle w:val="2"/>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七是附则，</w:t>
      </w:r>
      <w:r>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t>明确创新券政策由泉州市科技局负责解释，有效期</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至2028年12月</w:t>
      </w:r>
      <w:r>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t>3</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1日</w:t>
      </w:r>
      <w:r>
        <w:rPr>
          <w:rFonts w:hint="default" w:ascii="仿宋_GB2312" w:hAnsi="Times New Roman" w:eastAsia="仿宋_GB2312" w:cs="Times New Roman"/>
          <w:color w:val="000000" w:themeColor="text1"/>
          <w:kern w:val="0"/>
          <w:sz w:val="32"/>
          <w:szCs w:val="32"/>
          <w:lang w:val="en-US" w:eastAsia="zh-CN" w:bidi="ar-SA"/>
          <w14:textFill>
            <w14:solidFill>
              <w14:schemeClr w14:val="tx1"/>
            </w14:solidFill>
          </w14:textFill>
        </w:rPr>
        <w:t>。</w:t>
      </w:r>
    </w:p>
    <w:p>
      <w:pPr>
        <w:pStyle w:val="3"/>
        <w:numPr>
          <w:ilvl w:val="0"/>
          <w:numId w:val="0"/>
        </w:numPr>
        <w:ind w:leftChars="0" w:firstLine="640" w:firstLineChars="200"/>
        <w:rPr>
          <w:rFonts w:hint="eastAsia" w:ascii="仿宋_GB2312" w:hAnsi="宋体" w:eastAsia="仿宋_GB2312" w:cs="Times New Roman"/>
          <w:color w:val="0C0C0C"/>
          <w:kern w:val="0"/>
          <w:sz w:val="32"/>
          <w:szCs w:val="32"/>
          <w:shd w:val="clear" w:color="auto" w:fill="FFFFFF"/>
          <w:lang w:val="en-US" w:eastAsia="zh-CN" w:bidi="ar-SA"/>
        </w:rPr>
      </w:pPr>
      <w:bookmarkStart w:id="0" w:name="_GoBack"/>
      <w:bookmarkEnd w:id="0"/>
    </w:p>
    <w:p>
      <w:pPr>
        <w:pStyle w:val="3"/>
        <w:numPr>
          <w:ilvl w:val="0"/>
          <w:numId w:val="0"/>
        </w:numPr>
        <w:ind w:leftChars="0"/>
        <w:rPr>
          <w:rFonts w:hint="default"/>
          <w:lang w:val="en-US" w:eastAsia="zh-CN"/>
        </w:rPr>
      </w:pPr>
    </w:p>
    <w:p>
      <w:pPr>
        <w:pStyle w:val="3"/>
        <w:rPr>
          <w:rFonts w:hint="eastAsia"/>
        </w:rPr>
      </w:pPr>
    </w:p>
    <w:p>
      <w:pPr>
        <w:numPr>
          <w:ilvl w:val="0"/>
          <w:numId w:val="0"/>
        </w:numPr>
        <w:jc w:val="both"/>
        <w:rPr>
          <w:rFonts w:hint="default" w:ascii="仿宋" w:hAnsi="仿宋" w:eastAsia="仿宋" w:cs="仿宋"/>
          <w:b/>
          <w:bCs/>
          <w:i w:val="0"/>
          <w:iCs w:val="0"/>
          <w:caps w:val="0"/>
          <w:color w:val="333333"/>
          <w:spacing w:val="0"/>
          <w:sz w:val="36"/>
          <w:szCs w:val="36"/>
          <w:shd w:val="clear" w:fill="FFFFFF"/>
          <w:lang w:val="en-US" w:eastAsia="zh-CN"/>
        </w:rPr>
      </w:pPr>
    </w:p>
    <w:p/>
    <w:sectPr>
      <w:footerReference r:id="rId3" w:type="default"/>
      <w:pgSz w:w="11906" w:h="16838"/>
      <w:pgMar w:top="2098" w:right="1417" w:bottom="108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917A0"/>
    <w:rsid w:val="335FD22B"/>
    <w:rsid w:val="3CE917A0"/>
    <w:rsid w:val="49965687"/>
    <w:rsid w:val="5CF214D0"/>
    <w:rsid w:val="729A01E8"/>
    <w:rsid w:val="BFF79E3B"/>
    <w:rsid w:val="F17F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宋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Words>
  <Characters>232</Characters>
  <Lines>0</Lines>
  <Paragraphs>0</Paragraphs>
  <TotalTime>49</TotalTime>
  <ScaleCrop>false</ScaleCrop>
  <LinksUpToDate>false</LinksUpToDate>
  <CharactersWithSpaces>233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2025-12-18T16:48:00Z</dcterms:created>
  <dc:creator>june</dc:creator>
  <cp:lastModifiedBy>积极的</cp:lastModifiedBy>
  <dcterms:modified xsi:type="dcterms:W3CDTF">2025-12-19T11:39:30Z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1A0E249E07D34A6CBF27BF1210AF2C86_13</vt:lpwstr>
  </property>
  <property fmtid="{D5CDD505-2E9C-101B-9397-08002B2CF9AE}" pid="4" name="KSOTemplateDocerSaveRecord">
    <vt:lpwstr>eyJoZGlkIjoiMDUxMTc4ZGU5NjFjNDA4OTFiNzhmNjU1YjgxNjBiYWEiLCJ1c2VySWQiOiI0MzQxOTYyNzUifQ==</vt:lpwstr>
  </property>
</Properties>
</file>